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D79EE" w14:textId="7BC3BD91" w:rsidR="00DD3F87" w:rsidRPr="00DD3F87" w:rsidRDefault="00DD3F87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 w:rsidRPr="00DD3F87">
        <w:rPr>
          <w:rFonts w:ascii="Times New Roman" w:hAnsi="Times New Roman" w:cs="Times New Roman"/>
          <w:sz w:val="40"/>
          <w:szCs w:val="40"/>
          <w:lang w:val="uk-UA"/>
        </w:rPr>
        <w:t>ЗВІТ З НАВЧАЛЬНОЇ ПРАКТИКИ</w:t>
      </w:r>
    </w:p>
    <w:p w14:paraId="0E9AD5C9" w14:textId="2868C229" w:rsidR="00C55172" w:rsidRPr="00DD3F87" w:rsidRDefault="0000000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D3F87">
        <w:rPr>
          <w:rFonts w:ascii="Times New Roman" w:hAnsi="Times New Roman" w:cs="Times New Roman"/>
          <w:sz w:val="28"/>
          <w:szCs w:val="28"/>
        </w:rPr>
        <w:t>Тема</w:t>
      </w:r>
      <w:proofErr w:type="spellEnd"/>
      <w:r w:rsidRPr="00DD3F8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D3F87">
        <w:rPr>
          <w:rFonts w:ascii="Times New Roman" w:hAnsi="Times New Roman" w:cs="Times New Roman"/>
          <w:sz w:val="28"/>
          <w:szCs w:val="28"/>
        </w:rPr>
        <w:t>Фінансовий</w:t>
      </w:r>
      <w:proofErr w:type="spellEnd"/>
      <w:r w:rsidRPr="00DD3F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F87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DD3F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F87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DD3F87">
        <w:rPr>
          <w:rFonts w:ascii="Times New Roman" w:hAnsi="Times New Roman" w:cs="Times New Roman"/>
          <w:sz w:val="28"/>
          <w:szCs w:val="28"/>
        </w:rPr>
        <w:t xml:space="preserve"> IT-компаній (Завдання підвищеної складності)</w:t>
      </w:r>
    </w:p>
    <w:p w14:paraId="65082A80" w14:textId="77777777" w:rsidR="00C55172" w:rsidRPr="00DD3F87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r w:rsidRPr="00DD3F87">
        <w:rPr>
          <w:rFonts w:ascii="Times New Roman" w:hAnsi="Times New Roman" w:cs="Times New Roman"/>
          <w:b w:val="0"/>
          <w:bCs w:val="0"/>
          <w:color w:val="auto"/>
        </w:rPr>
        <w:t>Мета роботи:</w:t>
      </w:r>
    </w:p>
    <w:p w14:paraId="05537055" w14:textId="77777777" w:rsidR="00C55172" w:rsidRPr="00DD3F87" w:rsidRDefault="00000000">
      <w:pPr>
        <w:rPr>
          <w:rFonts w:ascii="Times New Roman" w:hAnsi="Times New Roman" w:cs="Times New Roman"/>
          <w:sz w:val="28"/>
          <w:szCs w:val="28"/>
        </w:rPr>
      </w:pPr>
      <w:r w:rsidRPr="00DD3F87">
        <w:rPr>
          <w:rFonts w:ascii="Times New Roman" w:hAnsi="Times New Roman" w:cs="Times New Roman"/>
          <w:sz w:val="28"/>
          <w:szCs w:val="28"/>
        </w:rPr>
        <w:t>Оволодіти методами фінансового аналізу, адаптованими до специфіки IT-компаній, включаючи оцінку ліквідності, прибутковості та специфічних метрик зростання (CAC, Rule of 40).</w:t>
      </w:r>
    </w:p>
    <w:p w14:paraId="6D091BB5" w14:textId="77777777" w:rsidR="00C55172" w:rsidRPr="00DD3F87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r w:rsidRPr="00DD3F87">
        <w:rPr>
          <w:rFonts w:ascii="Times New Roman" w:hAnsi="Times New Roman" w:cs="Times New Roman"/>
          <w:b w:val="0"/>
          <w:bCs w:val="0"/>
          <w:color w:val="auto"/>
        </w:rPr>
        <w:t>1. Специфіка фінансового аналізу в IT-секторі</w:t>
      </w:r>
    </w:p>
    <w:p w14:paraId="1178DCC0" w14:textId="77777777" w:rsidR="00C55172" w:rsidRPr="00DD3F87" w:rsidRDefault="00000000">
      <w:pPr>
        <w:rPr>
          <w:rFonts w:ascii="Times New Roman" w:hAnsi="Times New Roman" w:cs="Times New Roman"/>
          <w:sz w:val="28"/>
          <w:szCs w:val="28"/>
        </w:rPr>
      </w:pPr>
      <w:r w:rsidRPr="00DD3F87">
        <w:rPr>
          <w:rFonts w:ascii="Times New Roman" w:hAnsi="Times New Roman" w:cs="Times New Roman"/>
          <w:sz w:val="28"/>
          <w:szCs w:val="28"/>
        </w:rPr>
        <w:t>На відміну від традиційних галузей, IT-компанії характеризуються:</w:t>
      </w:r>
    </w:p>
    <w:p w14:paraId="64B97E1A" w14:textId="77777777" w:rsidR="00C55172" w:rsidRPr="00DD3F87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DD3F87">
        <w:rPr>
          <w:rFonts w:ascii="Times New Roman" w:hAnsi="Times New Roman" w:cs="Times New Roman"/>
          <w:sz w:val="28"/>
          <w:szCs w:val="28"/>
        </w:rPr>
        <w:t>Високою часткою нематеріальних активів (програмне забезпечення, інтелектуальна власність).</w:t>
      </w:r>
    </w:p>
    <w:p w14:paraId="3B2788CE" w14:textId="77777777" w:rsidR="00C55172" w:rsidRPr="00DD3F87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DD3F87">
        <w:rPr>
          <w:rFonts w:ascii="Times New Roman" w:hAnsi="Times New Roman" w:cs="Times New Roman"/>
          <w:sz w:val="28"/>
          <w:szCs w:val="28"/>
        </w:rPr>
        <w:t>Використанням підписної моделі (SaaS), що потребує аналізу Recurring Revenue.</w:t>
      </w:r>
    </w:p>
    <w:p w14:paraId="76B82D1C" w14:textId="77777777" w:rsidR="00C55172" w:rsidRPr="00DD3F87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DD3F87">
        <w:rPr>
          <w:rFonts w:ascii="Times New Roman" w:hAnsi="Times New Roman" w:cs="Times New Roman"/>
          <w:sz w:val="28"/>
          <w:szCs w:val="28"/>
        </w:rPr>
        <w:t>Значними витратами на маркетинг для швидкого масштабування.</w:t>
      </w:r>
    </w:p>
    <w:p w14:paraId="12A7890E" w14:textId="77777777" w:rsidR="00C55172" w:rsidRPr="00DD3F87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r w:rsidRPr="00DD3F87">
        <w:rPr>
          <w:rFonts w:ascii="Times New Roman" w:hAnsi="Times New Roman" w:cs="Times New Roman"/>
          <w:b w:val="0"/>
          <w:bCs w:val="0"/>
          <w:color w:val="auto"/>
        </w:rPr>
        <w:t>2. Аналіз ключових фінансових показників</w:t>
      </w:r>
    </w:p>
    <w:p w14:paraId="4041978E" w14:textId="77777777" w:rsidR="00C55172" w:rsidRPr="00DD3F87" w:rsidRDefault="00000000">
      <w:pPr>
        <w:rPr>
          <w:rFonts w:ascii="Times New Roman" w:hAnsi="Times New Roman" w:cs="Times New Roman"/>
          <w:sz w:val="28"/>
          <w:szCs w:val="28"/>
        </w:rPr>
      </w:pPr>
      <w:r w:rsidRPr="00DD3F87">
        <w:rPr>
          <w:rFonts w:ascii="Times New Roman" w:hAnsi="Times New Roman" w:cs="Times New Roman"/>
          <w:sz w:val="28"/>
          <w:szCs w:val="28"/>
        </w:rPr>
        <w:t>Основні вхідні дані за 3 роки (тис. USD):</w:t>
      </w:r>
    </w:p>
    <w:p w14:paraId="39BE6547" w14:textId="77777777" w:rsidR="00DD3F87" w:rsidRPr="00DD3F87" w:rsidRDefault="00DD3F87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DD3F87">
        <w:rPr>
          <w:rFonts w:ascii="Times New Roman" w:hAnsi="Times New Roman" w:cs="Times New Roman"/>
          <w:b w:val="0"/>
          <w:bCs w:val="0"/>
          <w:color w:val="auto"/>
        </w:rPr>
        <w:lastRenderedPageBreak/>
        <w:drawing>
          <wp:inline distT="0" distB="0" distL="0" distR="0" wp14:anchorId="1046950E" wp14:editId="7ED0E936">
            <wp:extent cx="3791479" cy="2867425"/>
            <wp:effectExtent l="0" t="0" r="0" b="9525"/>
            <wp:docPr id="12262757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27574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91479" cy="28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0FC35" w14:textId="2F8FC67D" w:rsidR="00C55172" w:rsidRPr="00DD3F87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r w:rsidRPr="00DD3F87">
        <w:rPr>
          <w:rFonts w:ascii="Times New Roman" w:hAnsi="Times New Roman" w:cs="Times New Roman"/>
          <w:b w:val="0"/>
          <w:bCs w:val="0"/>
          <w:color w:val="auto"/>
        </w:rPr>
        <w:t>3. Розрахунок аналітичних коефіцієнтів</w:t>
      </w:r>
    </w:p>
    <w:p w14:paraId="6F13C7E1" w14:textId="77777777" w:rsidR="00DD3F87" w:rsidRPr="00DD3F87" w:rsidRDefault="00DD3F87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DD3F87">
        <w:rPr>
          <w:rFonts w:ascii="Times New Roman" w:hAnsi="Times New Roman" w:cs="Times New Roman"/>
          <w:b w:val="0"/>
          <w:bCs w:val="0"/>
          <w:color w:val="auto"/>
        </w:rPr>
        <w:drawing>
          <wp:inline distT="0" distB="0" distL="0" distR="0" wp14:anchorId="14F5CB2A" wp14:editId="4C0AC8BB">
            <wp:extent cx="5486400" cy="2539365"/>
            <wp:effectExtent l="0" t="0" r="0" b="0"/>
            <wp:docPr id="7705923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59233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53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A0B7A" w14:textId="54C39ABB" w:rsidR="00C55172" w:rsidRPr="00DD3F87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r w:rsidRPr="00DD3F87">
        <w:rPr>
          <w:rFonts w:ascii="Times New Roman" w:hAnsi="Times New Roman" w:cs="Times New Roman"/>
          <w:b w:val="0"/>
          <w:bCs w:val="0"/>
          <w:color w:val="auto"/>
        </w:rPr>
        <w:t>4. Аналіз специфічних метрик (IT Metrics)</w:t>
      </w:r>
    </w:p>
    <w:p w14:paraId="68473264" w14:textId="77777777" w:rsidR="00C55172" w:rsidRPr="00DD3F87" w:rsidRDefault="00000000">
      <w:pPr>
        <w:rPr>
          <w:rFonts w:ascii="Times New Roman" w:hAnsi="Times New Roman" w:cs="Times New Roman"/>
          <w:sz w:val="28"/>
          <w:szCs w:val="28"/>
        </w:rPr>
      </w:pPr>
      <w:r w:rsidRPr="00DD3F87">
        <w:rPr>
          <w:rFonts w:ascii="Times New Roman" w:hAnsi="Times New Roman" w:cs="Times New Roman"/>
          <w:sz w:val="28"/>
          <w:szCs w:val="28"/>
        </w:rPr>
        <w:t>Вартість залучення клієнта (CAC): Розраховується як відношення витрат на маркетинг до кількості нових клієнтів. Протягом 3 років CAC залишається стабільним (від 1.4 до 1.6 USD), що вказує на ефективну маркетингову стратегію при зростанні масштабів.</w:t>
      </w:r>
    </w:p>
    <w:p w14:paraId="0E6515E6" w14:textId="77777777" w:rsidR="00C55172" w:rsidRPr="00DD3F87" w:rsidRDefault="00000000">
      <w:pPr>
        <w:rPr>
          <w:rFonts w:ascii="Times New Roman" w:hAnsi="Times New Roman" w:cs="Times New Roman"/>
          <w:sz w:val="28"/>
          <w:szCs w:val="28"/>
        </w:rPr>
      </w:pPr>
      <w:r w:rsidRPr="00DD3F87">
        <w:rPr>
          <w:rFonts w:ascii="Times New Roman" w:hAnsi="Times New Roman" w:cs="Times New Roman"/>
          <w:sz w:val="28"/>
          <w:szCs w:val="28"/>
        </w:rPr>
        <w:lastRenderedPageBreak/>
        <w:t>Rule of 40: Сума темпу зростання доходу та маржі прибутку. Для досліджуваної компанії цей показник становить понад 70% у 2-му та 3-му роках, що значно перевищує галузевий стандарт у 40%. Це свідчить про надзвичайно здоровий баланс між зростанням та прибутковістю.</w:t>
      </w:r>
    </w:p>
    <w:p w14:paraId="5705DDCA" w14:textId="77777777" w:rsidR="00C55172" w:rsidRPr="00DD3F87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</w:rPr>
      </w:pPr>
      <w:r w:rsidRPr="00DD3F87">
        <w:rPr>
          <w:rFonts w:ascii="Times New Roman" w:hAnsi="Times New Roman" w:cs="Times New Roman"/>
          <w:b w:val="0"/>
          <w:bCs w:val="0"/>
          <w:color w:val="auto"/>
        </w:rPr>
        <w:t>Висновки</w:t>
      </w:r>
    </w:p>
    <w:p w14:paraId="171A61EE" w14:textId="77777777" w:rsidR="00C55172" w:rsidRPr="00DD3F87" w:rsidRDefault="00000000">
      <w:pPr>
        <w:rPr>
          <w:rFonts w:ascii="Times New Roman" w:hAnsi="Times New Roman" w:cs="Times New Roman"/>
          <w:sz w:val="28"/>
          <w:szCs w:val="28"/>
        </w:rPr>
      </w:pPr>
      <w:r w:rsidRPr="00DD3F87">
        <w:rPr>
          <w:rFonts w:ascii="Times New Roman" w:hAnsi="Times New Roman" w:cs="Times New Roman"/>
          <w:sz w:val="28"/>
          <w:szCs w:val="28"/>
        </w:rPr>
        <w:t>На основі проведеного аналізу встановлено, що компанія є Growth-oriented (орієнтована на зростання). Основні аргументи:</w:t>
      </w:r>
    </w:p>
    <w:p w14:paraId="6A2BAF3D" w14:textId="77777777" w:rsidR="00C55172" w:rsidRPr="00DD3F87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DD3F87">
        <w:rPr>
          <w:rFonts w:ascii="Times New Roman" w:hAnsi="Times New Roman" w:cs="Times New Roman"/>
          <w:sz w:val="28"/>
          <w:szCs w:val="28"/>
        </w:rPr>
        <w:t>Стрімке зростання доходу (з 1000 до 2000 тис. USD за 3 роки).</w:t>
      </w:r>
    </w:p>
    <w:p w14:paraId="28EEB7D0" w14:textId="77777777" w:rsidR="00C55172" w:rsidRPr="00DD3F87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DD3F87">
        <w:rPr>
          <w:rFonts w:ascii="Times New Roman" w:hAnsi="Times New Roman" w:cs="Times New Roman"/>
          <w:sz w:val="28"/>
          <w:szCs w:val="28"/>
        </w:rPr>
        <w:t>Високий показник Rule of 40 (70%+).</w:t>
      </w:r>
    </w:p>
    <w:p w14:paraId="690E7BAE" w14:textId="77777777" w:rsidR="00C55172" w:rsidRPr="00DD3F87" w:rsidRDefault="00000000">
      <w:pPr>
        <w:pStyle w:val="a0"/>
        <w:rPr>
          <w:rFonts w:ascii="Times New Roman" w:hAnsi="Times New Roman" w:cs="Times New Roman"/>
          <w:sz w:val="28"/>
          <w:szCs w:val="28"/>
        </w:rPr>
      </w:pPr>
      <w:r w:rsidRPr="00DD3F87">
        <w:rPr>
          <w:rFonts w:ascii="Times New Roman" w:hAnsi="Times New Roman" w:cs="Times New Roman"/>
          <w:sz w:val="28"/>
          <w:szCs w:val="28"/>
        </w:rPr>
        <w:t>Стабільна рентабельність при значних інвестиціях у маркетинг.</w:t>
      </w:r>
    </w:p>
    <w:sectPr w:rsidR="00C55172" w:rsidRPr="00DD3F8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5712376">
    <w:abstractNumId w:val="8"/>
  </w:num>
  <w:num w:numId="2" w16cid:durableId="2002855345">
    <w:abstractNumId w:val="6"/>
  </w:num>
  <w:num w:numId="3" w16cid:durableId="1042024000">
    <w:abstractNumId w:val="5"/>
  </w:num>
  <w:num w:numId="4" w16cid:durableId="355810092">
    <w:abstractNumId w:val="4"/>
  </w:num>
  <w:num w:numId="5" w16cid:durableId="946156329">
    <w:abstractNumId w:val="7"/>
  </w:num>
  <w:num w:numId="6" w16cid:durableId="1895314745">
    <w:abstractNumId w:val="3"/>
  </w:num>
  <w:num w:numId="7" w16cid:durableId="2038502779">
    <w:abstractNumId w:val="2"/>
  </w:num>
  <w:num w:numId="8" w16cid:durableId="1551839950">
    <w:abstractNumId w:val="1"/>
  </w:num>
  <w:num w:numId="9" w16cid:durableId="326639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5278B"/>
    <w:rsid w:val="0029639D"/>
    <w:rsid w:val="00326F90"/>
    <w:rsid w:val="00AA1D8D"/>
    <w:rsid w:val="00B47730"/>
    <w:rsid w:val="00C55172"/>
    <w:rsid w:val="00CB0664"/>
    <w:rsid w:val="00DD3F8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A55349"/>
  <w14:defaultImageDpi w14:val="300"/>
  <w15:docId w15:val="{38389896-7D6B-4493-B82D-A82ACE66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1017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vinnri</cp:lastModifiedBy>
  <cp:revision>2</cp:revision>
  <dcterms:created xsi:type="dcterms:W3CDTF">2026-05-13T12:31:00Z</dcterms:created>
  <dcterms:modified xsi:type="dcterms:W3CDTF">2026-05-13T12:31:00Z</dcterms:modified>
  <cp:category/>
</cp:coreProperties>
</file>